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jc w:val="center"/>
        <w:rPr>
          <w:rFonts w:ascii="PrestigeEliMOT-Reg" w:hAnsi="PrestigeEliMOT-Reg" w:cs="PrestigeEliMOT-Reg"/>
          <w:b/>
          <w:sz w:val="24"/>
          <w:szCs w:val="24"/>
        </w:rPr>
      </w:pPr>
      <w:r w:rsidRPr="00284CB1">
        <w:rPr>
          <w:rFonts w:ascii="PrestigeEliMOT-Reg" w:hAnsi="PrestigeEliMOT-Reg" w:cs="PrestigeEliMOT-Reg"/>
          <w:b/>
          <w:sz w:val="24"/>
          <w:szCs w:val="24"/>
        </w:rPr>
        <w:t xml:space="preserve">A VÁRHEGYI GYÖRGY </w:t>
      </w:r>
      <w:proofErr w:type="gramStart"/>
      <w:r w:rsidRPr="00284CB1">
        <w:rPr>
          <w:rFonts w:ascii="PrestigeEliMOT-Reg" w:hAnsi="PrestigeEliMOT-Reg" w:cs="PrestigeEliMOT-Reg"/>
          <w:b/>
          <w:sz w:val="24"/>
          <w:szCs w:val="24"/>
        </w:rPr>
        <w:t>ALAPÍTVÁNY ALAPÍTÓ</w:t>
      </w:r>
      <w:proofErr w:type="gramEnd"/>
      <w:r w:rsidRPr="00284CB1">
        <w:rPr>
          <w:rFonts w:ascii="PrestigeEliMOT-Reg" w:hAnsi="PrestigeEliMOT-Reg" w:cs="PrestigeEliMOT-Reg"/>
          <w:b/>
          <w:sz w:val="24"/>
          <w:szCs w:val="24"/>
        </w:rPr>
        <w:t xml:space="preserve"> OKIRATA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jc w:val="center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(a módosításokkal egységes szerkezetben)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jc w:val="center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Alulírott alapító kinyilvánítja azon elhatározását, hogy az alábbiakban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részletezett tartós közérdekű célra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ALAPÍTVÁNYT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hoz létre a Ptk. 74/A-74/F. §-</w:t>
      </w:r>
      <w:proofErr w:type="spellStart"/>
      <w:r w:rsidRPr="00284CB1">
        <w:rPr>
          <w:rFonts w:ascii="PrestigeEliMOT-Reg" w:hAnsi="PrestigeEliMOT-Reg" w:cs="PrestigeEliMOT-Reg"/>
          <w:sz w:val="24"/>
          <w:szCs w:val="24"/>
        </w:rPr>
        <w:t>ai</w:t>
      </w:r>
      <w:proofErr w:type="spellEnd"/>
      <w:r w:rsidRPr="00284CB1">
        <w:rPr>
          <w:rFonts w:ascii="PrestigeEliMOT-Reg" w:hAnsi="PrestigeEliMOT-Reg" w:cs="PrestigeEliMOT-Reg"/>
          <w:sz w:val="24"/>
          <w:szCs w:val="24"/>
        </w:rPr>
        <w:t>, továbbá az 1997. évi CLVI. törvény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rendelkezései alapján az alábbiak szerint: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I. Az Alapítvány elnevezése és székhelye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1. Az Alapítvány alapítója: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Magyar Alapítványi, Egyesületi és Magánoktatási Intézmények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Egyesülete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(1035 Budapest, Szentendrei út 9.)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2. Az alapító vagyon: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100.000,- Ft, azaz egyszázezer forint.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3. Az Alapítvány neve: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Várhegyi György Alapítvány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4. Az Alapítvány székhelye: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1096 Budapest, Vendel utca 3.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5. Az Alapítvány levelezési címe: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1035 Budapest, Szentendrei út 9.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6. Az Alapítvány önálló jogi személy.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7. Az Alapítvány határozatlan időre létesül.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Az Alapítvány jogi személy, amely a megjelölt közhasznú célok szolgálata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során önállóan gazdálkodik.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II. Az Alapítvány célja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8. Az Alapítvány célja: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magyarországi független iskolák fennmaradásának, szervezeti és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szakmai fejlődésének támogatása.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Lehetőséget biztosít a független iskolák pedagógusainak, munkatársainak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szakmai fejlődésére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személyközpontú pedagógiai kutatások támogatása, elősegítése.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független iskolákkal összefüggő szakmai, emberi teljesítmények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elismerésére „Várhegyi György Díj” alapítása.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független iskolák működésének támogatása.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független iskolák együttműködésének, szervezeteinek támogatása.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9. Az Alapítvány közvetlen politikai tevékenységet nem folytat, szervezeteket,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pártokat nem támogat és azoknak anyagi támogatást nem nyújt.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Alapítvány országgyűlési, megyei, fővárosi önkormányzati képviselőjelöltet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nem állít</w:t>
      </w:r>
      <w:r>
        <w:rPr>
          <w:rFonts w:ascii="PrestigeEliMOT-Reg" w:hAnsi="PrestigeEliMOT-Reg" w:cs="PrestigeEliMOT-Reg"/>
          <w:sz w:val="24"/>
          <w:szCs w:val="24"/>
        </w:rPr>
        <w:t>,</w:t>
      </w:r>
      <w:r w:rsidRPr="00284CB1">
        <w:rPr>
          <w:rFonts w:ascii="PrestigeEliMOT-Reg" w:hAnsi="PrestigeEliMOT-Reg" w:cs="PrestigeEliMOT-Reg"/>
          <w:sz w:val="24"/>
          <w:szCs w:val="24"/>
        </w:rPr>
        <w:t xml:space="preserve"> és nem ajánl. Az Alapítvány politikai tevékenységet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jövőben sem folytat.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Alapítvány vállalkozási tevékenységet csak közhasznú céljainak</w:t>
      </w:r>
      <w:r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megvalósítása érdekében, azokat nem veszélyeztetve végezhet.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gazdálkodása során elért eredményét nem oszthatja fel, azt az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Alapítvány közhasznú tevékenységére fordíthatja.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lastRenderedPageBreak/>
        <w:t>Az Alapítvány közhasznú tevékenysége az 1997. évi CLVI. Törvény 26. §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(1) bekezdése c.) pontjának (4) alpontja alapján oktatás, nevelés, képességfejlesztés.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Alapítvány szolgáltatásait bárki, megkötés nélkül igénybe veheti,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aki az Alapítvány elveit elfogadja.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 xml:space="preserve">III. Az </w:t>
      </w: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Alapítvány induló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vagyona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 xml:space="preserve">10. Az </w:t>
      </w: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Alapítvány induló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vagyonát az Alapítvány célját kijelölő alapító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biztosítja.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11. Az alapító által biztosított Alapítványi vagyon az Alapítvány saját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vagyona, az nem követelhető vissza.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12. Minden Alapítványi vagyonhoz történő hozzájárulást, illetve az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Alapítványhoz tartozó ingó vagy ingatlan értéket nyilván kell tartani,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nyilvántartás vezetése az Alapítvány Kuratóriumának feladata.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13. Az Alapítványi vagyon forrása az Alapítványt támogató természetes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és jogi személyek, vagy jogi személyiséggel nem rendelkező gazdasági társaságok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által adott hozzájárulás. A hozzájárulás nem vonható vissza.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Az Alapítvány vagyonához hozzá lehet járulni készpénzzel vagy tárgyi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eszközökkel. A hozzájárulás összegét a könyv szerinti, illetve beszerzési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értékek alapján kell meghatározni.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14. Az Alapítvány számlájára való befizetés forintban és devizában is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történhet.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Az Alapítvány vagyonából a Kuratórium tagjainak esetenként költségtérítés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és tiszteletdíj fizethető.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15. Az Alapítványhoz minden magyar és külföldi természetes vagy jogi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személy, továbbá ezek jogi személyiséggel nem rendelkező társasága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csatlakozhat, aki (amely) az Alapítvány célkitűzéseivel egyetért, és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 xml:space="preserve">képes vagyontárgyat, eszközt, szakértelmet, készpénzt az </w:t>
      </w:r>
      <w:r w:rsidR="00A73B79">
        <w:rPr>
          <w:rFonts w:ascii="PrestigeEliMOT-Reg" w:hAnsi="PrestigeEliMOT-Reg" w:cs="PrestigeEliMOT-Reg"/>
          <w:sz w:val="24"/>
          <w:szCs w:val="24"/>
        </w:rPr>
        <w:t>A</w:t>
      </w:r>
      <w:r w:rsidRPr="00284CB1">
        <w:rPr>
          <w:rFonts w:ascii="PrestigeEliMOT-Reg" w:hAnsi="PrestigeEliMOT-Reg" w:cs="PrestigeEliMOT-Reg"/>
          <w:sz w:val="24"/>
          <w:szCs w:val="24"/>
        </w:rPr>
        <w:t>lapítvány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rendelkezésére bocsátani, amelyet az céljainak elérésére hasznosítani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tud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>, támogatását felajánlhatja.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elfogadásról az Alapítvány Kuratóriuma dönt. A Kuratórium a jogszabályokban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meghatározott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feltételek mellett a befizetőknek adóigazolást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ad.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IV. Az alapítványi vagyon felhasználása, gazdálkodás az alapítványi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vagyonnal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16. A meghatározott célra adott összeget – az Alapítvány célkitűzései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között – csak az adományozó által megjelölt célra szabad felhasználni.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17. Az Alapítvány vagyonával az Alapítvány Kuratóriuma rendelkezik.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Kuratórium az Alapítvány vagyonát a fenti céloknak megfelelően felhasználhatja.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18. Az Alapítvány váltót, illetve más hitelviszonyt megtestesítő értékpapírt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nem bocsát ki. Amennyiben az Alapítvány befektetési tevékenységet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folytat, a Kuratórium által elfogadott befektetési szabályzatot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köteles készíteni.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Alapítvány a cél szerinti tevékenységéből, illetve vállalkozási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tevékenységéből származó bevételeit és ráfordításait köteles elkülönítetten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nyilvántartani.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Alapítvány köteles az éves beszámoló jóváhagyásával egyidejűleg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közhasznúsági jelentést készíteni.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közhasznúsági jelentésnek tartalmaznia kell: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számviteli beszámolót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költségvetési támogatás felhasználását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vagyon felhasználásával kapcsolatos kimutatást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lastRenderedPageBreak/>
        <w:t>– a cél szerinti juttatások kimutatását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központi költségvetési szervtől, az elkülönített állami pénzalapból,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a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helyi önkormányzattól kapott támogatás mértékét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– a közhasznú tevékenységről szóló rövid tartalmi beszámolót.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közhasznúsági jelentés jóváhagyása a Kuratórium kizárólagos hatáskörébe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tartozik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>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V. Az Alapítvány szerve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19. Az Alapítvány képviselő és kezelő szerve: a Kuratórium, melynek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létszáma 3–5 fő. A Kuratórium jelenleg 4 főből áll, melynek tagjai: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spellStart"/>
      <w:r w:rsidRPr="00284CB1">
        <w:rPr>
          <w:rFonts w:ascii="PrestigeEliMOT-Reg" w:hAnsi="PrestigeEliMOT-Reg" w:cs="PrestigeEliMOT-Reg"/>
          <w:sz w:val="24"/>
          <w:szCs w:val="24"/>
        </w:rPr>
        <w:t>Vojnits</w:t>
      </w:r>
      <w:proofErr w:type="spellEnd"/>
      <w:r w:rsidRPr="00284CB1">
        <w:rPr>
          <w:rFonts w:ascii="PrestigeEliMOT-Reg" w:hAnsi="PrestigeEliMOT-Reg" w:cs="PrestigeEliMOT-Reg"/>
          <w:sz w:val="24"/>
          <w:szCs w:val="24"/>
        </w:rPr>
        <w:t xml:space="preserve"> Imréné a kuratórium elnöke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 xml:space="preserve">Anyja neve: </w:t>
      </w:r>
      <w:proofErr w:type="spellStart"/>
      <w:r w:rsidRPr="00284CB1">
        <w:rPr>
          <w:rFonts w:ascii="PrestigeEliMOT-Reg" w:hAnsi="PrestigeEliMOT-Reg" w:cs="PrestigeEliMOT-Reg"/>
          <w:sz w:val="24"/>
          <w:szCs w:val="24"/>
        </w:rPr>
        <w:t>Csighy</w:t>
      </w:r>
      <w:proofErr w:type="spellEnd"/>
      <w:r w:rsidRPr="00284CB1">
        <w:rPr>
          <w:rFonts w:ascii="PrestigeEliMOT-Reg" w:hAnsi="PrestigeEliMOT-Reg" w:cs="PrestigeEliMOT-Reg"/>
          <w:sz w:val="24"/>
          <w:szCs w:val="24"/>
        </w:rPr>
        <w:t xml:space="preserve"> Margit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 xml:space="preserve">Lakás: 1012 Budapest, </w:t>
      </w:r>
      <w:proofErr w:type="spellStart"/>
      <w:r w:rsidRPr="00284CB1">
        <w:rPr>
          <w:rFonts w:ascii="PrestigeEliMOT-Reg" w:hAnsi="PrestigeEliMOT-Reg" w:cs="PrestigeEliMOT-Reg"/>
          <w:sz w:val="24"/>
          <w:szCs w:val="24"/>
        </w:rPr>
        <w:t>Logodi</w:t>
      </w:r>
      <w:proofErr w:type="spellEnd"/>
      <w:r w:rsidRPr="00284CB1">
        <w:rPr>
          <w:rFonts w:ascii="PrestigeEliMOT-Reg" w:hAnsi="PrestigeEliMOT-Reg" w:cs="PrestigeEliMOT-Reg"/>
          <w:sz w:val="24"/>
          <w:szCs w:val="24"/>
        </w:rPr>
        <w:t xml:space="preserve"> utca 28.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Csongor Anna a kuratórium tagja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Anyja neve: Faludi Ágota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Lakás: 1132 Budapest, Visegrádi utca 3.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spellStart"/>
      <w:r w:rsidRPr="00284CB1">
        <w:rPr>
          <w:rFonts w:ascii="PrestigeEliMOT-Reg" w:hAnsi="PrestigeEliMOT-Reg" w:cs="PrestigeEliMOT-Reg"/>
          <w:sz w:val="24"/>
          <w:szCs w:val="24"/>
        </w:rPr>
        <w:t>Heit</w:t>
      </w:r>
      <w:proofErr w:type="spellEnd"/>
      <w:r w:rsidRPr="00284CB1">
        <w:rPr>
          <w:rFonts w:ascii="PrestigeEliMOT-Reg" w:hAnsi="PrestigeEliMOT-Reg" w:cs="PrestigeEliMOT-Reg"/>
          <w:sz w:val="24"/>
          <w:szCs w:val="24"/>
        </w:rPr>
        <w:t xml:space="preserve"> Gábor a kuratórium tagja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Anyja neve: Fodor Márta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Lakás: 1111 Budapest, Bartók Béla út 20.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Bak Zsófia a kuratórium tagja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Anyja neve: Marton Erika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 xml:space="preserve">Lakás: 1132 Budapest, </w:t>
      </w:r>
      <w:proofErr w:type="spellStart"/>
      <w:r w:rsidRPr="00284CB1">
        <w:rPr>
          <w:rFonts w:ascii="PrestigeEliMOT-Reg" w:hAnsi="PrestigeEliMOT-Reg" w:cs="PrestigeEliMOT-Reg"/>
          <w:sz w:val="24"/>
          <w:szCs w:val="24"/>
        </w:rPr>
        <w:t>Kresz</w:t>
      </w:r>
      <w:proofErr w:type="spellEnd"/>
      <w:r w:rsidRPr="00284CB1">
        <w:rPr>
          <w:rFonts w:ascii="PrestigeEliMOT-Reg" w:hAnsi="PrestigeEliMOT-Reg" w:cs="PrestigeEliMOT-Reg"/>
          <w:sz w:val="24"/>
          <w:szCs w:val="24"/>
        </w:rPr>
        <w:t xml:space="preserve"> Géza utca 41.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Kuratórium tagjait az alapító kéri fel határozatlan időre.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alapító a Kuratórium működéséről az alábbiak szerint rendelkezik: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Alapítványt a kuratórium elnöke képviseli a hatóságok és harmadik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személyek előtt.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bankszámla feletti rendelkezéskor az Alapítvány kuratóriumának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 xml:space="preserve">elnöke – </w:t>
      </w:r>
      <w:proofErr w:type="spellStart"/>
      <w:r w:rsidRPr="00284CB1">
        <w:rPr>
          <w:rFonts w:ascii="PrestigeEliMOT-Reg" w:hAnsi="PrestigeEliMOT-Reg" w:cs="PrestigeEliMOT-Reg"/>
          <w:sz w:val="24"/>
          <w:szCs w:val="24"/>
        </w:rPr>
        <w:t>Vojnits</w:t>
      </w:r>
      <w:proofErr w:type="spellEnd"/>
      <w:r w:rsidRPr="00284CB1">
        <w:rPr>
          <w:rFonts w:ascii="PrestigeEliMOT-Reg" w:hAnsi="PrestigeEliMOT-Reg" w:cs="PrestigeEliMOT-Reg"/>
          <w:sz w:val="24"/>
          <w:szCs w:val="24"/>
        </w:rPr>
        <w:t xml:space="preserve"> Imréné – a kuratórium egy tagjával – Bak Zsófiával –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együttesen ír alá.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Kuratórium tagjai tevékenységüket társadalmi munkában végzik, de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munkájuk során felmerülő költségeiket az Alapítvány megtérítheti.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Kuratórium pályázatot írhat ki, ösztöndíjat ítélhet oda, továbbá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feladata az odaítélt támogatások felhasználásának ellenőrzése is.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Kuratórium szükség szerint, de évente legalább egyszer ülést tart.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Az ülést az elnök 15 napra előre hívja össze a napirend írásbeli közlésével.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Ha a Kuratórium nem határozatképes, addig kell ismételten újra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összehívni, amíg a határozatképesség nem biztosított.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Kuratóriumi tag jogosult további napirendi pont felvételét indítványozni.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Kuratórium határozatképes, ha legalább három tag jelen van. Döntéseit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egyszerű szótöbbséggel hozza. Ugyanez a szabály vonatkozik az éves beszámoló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és a közhasznúsági jelentés jóváhagyására is.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Kuratórium titkos szavazással dönt a személyi kérdésekben, továbbá,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ha a Kuratórium úgy dönt. (Amennyiben titkos szavazás esetén szavazategyenlőség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állna elő, a szavazást addig kell ismételni, amíg az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eredményes nem lesz.)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20. A Kuratóriumi tagság megszűnhet felmentéssel, visszahívással,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lemondással,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elhalálozással. Amennyiben valamelyik tag lemond, a megmaradt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 xml:space="preserve">tagok kötelesek e tényről </w:t>
      </w: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a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alapítót értesíteni, aki új tagot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jelöl ki.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21. A Kuratórium ülése nyilvános.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Kuratórium üléseiről jegyzőkönyvet kell készíteni, és arról a határozatok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könyvét kell vezetni. A jegyzőkönyvnek és a határozatok könyvének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tartalmaznia kell a Kuratórium üléseinek időpontját, a meghozott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döntések (határozatok) szó szerinti szövegét, a döntés hatályára vonatkozó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rendelkezéseket, a döntést támogatók és az azt ellenzők számarányát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lastRenderedPageBreak/>
        <w:t>és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– ha lehet – nevét.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Nyílt szavazás esetén a támogatókat és az ellenzőket név szerint tartalmazza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jegyzőkönyv. A döntést ellenzők ellenvéleményüket írásban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csatolhatják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>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jegyzőkönyveket és a határozatok könyvét a Kuratórium iratai között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meg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kell őrizni.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működéssel kapcsolatban keletkezett bármely iratba, továbbá a közhasznúsági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jelentésekbe való betekintést a Kuratórium munkanapokon,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munkaidőben az Alapítvány székhelyén előre egyeztetett időpontban bárki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számára lehetővé teszi. A közhasznúsági jelentésekről a saját költségére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bárki fénymásolatot kérhet.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22. A Kuratórium döntéseit az érintettekkel írásban igazolható módon,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nyilvánossággal pedig a székhelyén elhelyezett hirdetőtábla segítségével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közli.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Alapítvány működése módjának, szolgáltatásai igénybevétele módjának,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gazdálkodásának legfontosabb adatait az Alapítvány székhelyén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elhelyezett hirdetőtáblán való kifüggesztéssel kell közzétenni.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közhasznúsági jelentést az Alapítványi és Magániskolák Egyesületének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www.maganiskolak.hu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nevű honlapján kell nyilvánosságra hozni.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23. A Kuratórium határozathozatalában nem vehet részt az a személy,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aki, vagy akinek közeli hozzátartozója (Ptk. 685. § b.) pont), élettársa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(a továbbiakban együtt: hozzátartozó) a határozat alapján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a.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>) kötelezettség vagy felelősség alól mentesül, vagy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b.) bármilyen más előnyben részesül, illetve a megkötendő jogügyletben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egyébként érdekelt.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Nem minősül előnynek a közhasznú szervezet cél szerinti juttatásai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keretében a bárki által megkötés nélkül igénybe vehető nem pénzbeli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szolgáltatás.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 közhasznú szervezet megszűntét követő két évig nem lehet más közhasznú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szervezet vezető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tisztségviselője az a személy, aki olyan közhasznú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szervezetnél töltött be – annak megszűntét megelőző két évben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legalább egy évig – vezető tisztséget, amely az adózás rendjéről szóló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törvény</w:t>
      </w:r>
      <w:proofErr w:type="gramEnd"/>
      <w:r w:rsidRPr="00284CB1">
        <w:rPr>
          <w:rFonts w:ascii="PrestigeEliMOT-Reg" w:hAnsi="PrestigeEliMOT-Reg" w:cs="PrestigeEliMOT-Reg"/>
          <w:sz w:val="24"/>
          <w:szCs w:val="24"/>
        </w:rPr>
        <w:t xml:space="preserve"> szerinti köztartozását nem egyenlítette ki.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 vezető tisztségviselő, illetve az ennek jelölt személy köteles az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Alapítványt előzetesen tájékoztatni arról, hogy ilyen tisztséget egyidejűleg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más közhasznú szervezetnél is betölt.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24. Amennyiben az Alapítvány éves bevétele az 5.000.000 Ft-ot (azaz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ötmillió forintot) meghaladja, a vezető szervtől elkülönült felügyelő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szerv (Felügyelő Bizottság) létrehozása akkor is kötelező, ha ilyen kötelezettség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más jogszabálynál fogva egyébként nem áll fenn.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VI. Záró rendelkezések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25. Az Alapítvány megszűnik a Magyar Köztársaság Polgári Törvénykönyve</w:t>
      </w: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74/E §. (2)–(4) bekezdésében meghatározott esetekben.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P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26. Az Alapítvány a Fővárosi Bíróságnál történő nyilvántartásba vétellel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jön létre.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27. Az alapító okiratban nem szabályozott kérdésekben a Magyar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Köztársaság Polgári Törvénykönyvének az Alapítványokra vonatkozó, továbbá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az 1997. évi CLVI. Törvény a közhasznú szervezetekről rendelkezései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  <w:r w:rsidRPr="00284CB1">
        <w:rPr>
          <w:rFonts w:ascii="PrestigeEliMOT-Reg" w:hAnsi="PrestigeEliMOT-Reg" w:cs="PrestigeEliMOT-Reg"/>
          <w:sz w:val="24"/>
          <w:szCs w:val="24"/>
        </w:rPr>
        <w:t>irányadóak.</w:t>
      </w:r>
      <w:r w:rsidR="00A73B79">
        <w:rPr>
          <w:rFonts w:ascii="PrestigeEliMOT-Reg" w:hAnsi="PrestigeEliMOT-Reg" w:cs="PrestigeEliMOT-Reg"/>
          <w:sz w:val="24"/>
          <w:szCs w:val="24"/>
        </w:rPr>
        <w:t xml:space="preserve"> </w:t>
      </w:r>
    </w:p>
    <w:p w:rsidR="00284CB1" w:rsidRDefault="00284CB1" w:rsidP="00284CB1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A73B79" w:rsidRDefault="00284CB1" w:rsidP="00A73B79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Az alapító okirat módosításának jogát az alapító fenntartja magának.</w:t>
      </w:r>
    </w:p>
    <w:p w:rsidR="00A73B79" w:rsidRDefault="00A73B79" w:rsidP="00A73B79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A73B79" w:rsidRDefault="00A73B79" w:rsidP="00A73B79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A73B79" w:rsidRDefault="00A73B79" w:rsidP="00A73B79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</w:p>
    <w:p w:rsidR="00A73B79" w:rsidRDefault="00284CB1" w:rsidP="00A73B79">
      <w:pPr>
        <w:autoSpaceDE w:val="0"/>
        <w:autoSpaceDN w:val="0"/>
        <w:adjustRightInd w:val="0"/>
        <w:spacing w:after="0" w:line="240" w:lineRule="auto"/>
        <w:rPr>
          <w:rFonts w:ascii="PrestigeEliMOT-Reg" w:hAnsi="PrestigeEliMOT-Reg" w:cs="PrestigeEliMOT-Reg"/>
          <w:sz w:val="24"/>
          <w:szCs w:val="24"/>
        </w:rPr>
      </w:pPr>
      <w:r w:rsidRPr="00284CB1">
        <w:rPr>
          <w:rFonts w:ascii="PrestigeEliMOT-Reg" w:hAnsi="PrestigeEliMOT-Reg" w:cs="PrestigeEliMOT-Reg"/>
          <w:sz w:val="24"/>
          <w:szCs w:val="24"/>
        </w:rPr>
        <w:t>Alapítványi és Magániskolák Egyesülete</w:t>
      </w:r>
      <w:r w:rsidR="00A73B79">
        <w:rPr>
          <w:rFonts w:ascii="PrestigeEliMOT-Reg" w:hAnsi="PrestigeEliMOT-Reg" w:cs="PrestigeEliMOT-Reg"/>
          <w:sz w:val="24"/>
          <w:szCs w:val="24"/>
        </w:rPr>
        <w:tab/>
      </w:r>
      <w:r w:rsidR="00A73B79">
        <w:rPr>
          <w:rFonts w:ascii="PrestigeEliMOT-Reg" w:hAnsi="PrestigeEliMOT-Reg" w:cs="PrestigeEliMOT-Reg"/>
          <w:sz w:val="24"/>
          <w:szCs w:val="24"/>
        </w:rPr>
        <w:tab/>
      </w:r>
      <w:r w:rsidR="00A73B79">
        <w:rPr>
          <w:rFonts w:ascii="PrestigeEliMOT-Reg" w:hAnsi="PrestigeEliMOT-Reg" w:cs="PrestigeEliMOT-Reg"/>
          <w:sz w:val="24"/>
          <w:szCs w:val="24"/>
        </w:rPr>
        <w:tab/>
      </w:r>
      <w:r w:rsidR="00A73B79">
        <w:rPr>
          <w:rFonts w:ascii="PrestigeEliMOT-Reg" w:hAnsi="PrestigeEliMOT-Reg" w:cs="PrestigeEliMOT-Reg"/>
          <w:sz w:val="24"/>
          <w:szCs w:val="24"/>
        </w:rPr>
        <w:tab/>
      </w:r>
      <w:r w:rsidR="00A73B79">
        <w:rPr>
          <w:rFonts w:ascii="PrestigeEliMOT-Reg" w:hAnsi="PrestigeEliMOT-Reg" w:cs="PrestigeEliMOT-Reg"/>
          <w:sz w:val="24"/>
          <w:szCs w:val="24"/>
        </w:rPr>
        <w:tab/>
      </w:r>
      <w:r w:rsidR="00A73B79">
        <w:rPr>
          <w:rFonts w:ascii="PrestigeEliMOT-Reg" w:hAnsi="PrestigeEliMOT-Reg" w:cs="PrestigeEliMOT-Reg"/>
          <w:sz w:val="24"/>
          <w:szCs w:val="24"/>
        </w:rPr>
        <w:tab/>
      </w:r>
      <w:bookmarkStart w:id="0" w:name="_GoBack"/>
      <w:bookmarkEnd w:id="0"/>
      <w:r w:rsidR="00A73B79">
        <w:rPr>
          <w:rFonts w:ascii="PrestigeEliMOT-Reg" w:hAnsi="PrestigeEliMOT-Reg" w:cs="PrestigeEliMOT-Reg"/>
          <w:sz w:val="24"/>
          <w:szCs w:val="24"/>
        </w:rPr>
        <w:t>Budapest, 2000</w:t>
      </w:r>
      <w:r w:rsidR="00A73B79" w:rsidRPr="00284CB1">
        <w:rPr>
          <w:rFonts w:ascii="PrestigeEliMOT-Reg" w:hAnsi="PrestigeEliMOT-Reg" w:cs="PrestigeEliMOT-Reg"/>
          <w:sz w:val="24"/>
          <w:szCs w:val="24"/>
        </w:rPr>
        <w:t xml:space="preserve">. </w:t>
      </w:r>
    </w:p>
    <w:p w:rsidR="002974AB" w:rsidRPr="00A73B79" w:rsidRDefault="00284CB1" w:rsidP="00A73B7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PrestigeEliMOT-Reg" w:hAnsi="PrestigeEliMOT-Reg" w:cs="PrestigeEliMOT-Reg"/>
          <w:sz w:val="24"/>
          <w:szCs w:val="24"/>
        </w:rPr>
      </w:pPr>
      <w:proofErr w:type="gramStart"/>
      <w:r w:rsidRPr="00284CB1">
        <w:rPr>
          <w:rFonts w:ascii="PrestigeEliMOT-Reg" w:hAnsi="PrestigeEliMOT-Reg" w:cs="PrestigeEliMOT-Reg"/>
          <w:sz w:val="24"/>
          <w:szCs w:val="24"/>
        </w:rPr>
        <w:t>alapító</w:t>
      </w:r>
      <w:proofErr w:type="gramEnd"/>
    </w:p>
    <w:sectPr w:rsidR="002974AB" w:rsidRPr="00A73B79" w:rsidSect="001D38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tigeEliMOT-Reg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B1"/>
    <w:rsid w:val="001D380C"/>
    <w:rsid w:val="00284CB1"/>
    <w:rsid w:val="002974AB"/>
    <w:rsid w:val="00A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4B62"/>
  <w15:chartTrackingRefBased/>
  <w15:docId w15:val="{AE64CFBE-62F2-41A4-82A0-144D3EC2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1340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Zsófi</cp:lastModifiedBy>
  <cp:revision>2</cp:revision>
  <dcterms:created xsi:type="dcterms:W3CDTF">2020-09-21T10:55:00Z</dcterms:created>
  <dcterms:modified xsi:type="dcterms:W3CDTF">2020-09-21T11:15:00Z</dcterms:modified>
</cp:coreProperties>
</file>